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E04" w:rsidRDefault="00FF0E04" w:rsidP="00FF0E04">
      <w:pPr>
        <w:jc w:val="center"/>
        <w:rPr>
          <w:b/>
          <w:sz w:val="48"/>
          <w:szCs w:val="48"/>
        </w:rPr>
      </w:pPr>
      <w:r w:rsidRPr="008068F7">
        <w:rPr>
          <w:b/>
          <w:sz w:val="48"/>
          <w:szCs w:val="48"/>
        </w:rPr>
        <w:t>Práctica Calificada</w:t>
      </w:r>
    </w:p>
    <w:p w:rsidR="00FF0E04" w:rsidRPr="00D527CB" w:rsidRDefault="00FF0E04" w:rsidP="00FF0E04">
      <w:pPr>
        <w:jc w:val="both"/>
        <w:rPr>
          <w:b/>
          <w:sz w:val="32"/>
          <w:szCs w:val="32"/>
        </w:rPr>
      </w:pPr>
      <w:r w:rsidRPr="00D527CB">
        <w:rPr>
          <w:b/>
          <w:sz w:val="32"/>
          <w:szCs w:val="32"/>
        </w:rPr>
        <w:t>Lee el siguiente texto y utiliza las tre</w:t>
      </w:r>
      <w:r>
        <w:rPr>
          <w:b/>
          <w:sz w:val="32"/>
          <w:szCs w:val="32"/>
        </w:rPr>
        <w:t>s</w:t>
      </w:r>
      <w:r w:rsidRPr="00D527CB">
        <w:rPr>
          <w:b/>
          <w:sz w:val="32"/>
          <w:szCs w:val="32"/>
        </w:rPr>
        <w:t xml:space="preserve"> maneras del subrayado</w:t>
      </w:r>
      <w:r>
        <w:rPr>
          <w:b/>
          <w:sz w:val="32"/>
          <w:szCs w:val="32"/>
        </w:rPr>
        <w:t xml:space="preserve"> </w:t>
      </w:r>
      <w:r w:rsidRPr="00D527CB">
        <w:rPr>
          <w:b/>
          <w:sz w:val="32"/>
          <w:szCs w:val="32"/>
        </w:rPr>
        <w:t>(Lineal, estructural y de realce)</w:t>
      </w:r>
    </w:p>
    <w:p w:rsidR="00FF0E04" w:rsidRDefault="00FF0E04" w:rsidP="00FF0E04">
      <w:pPr>
        <w:jc w:val="both"/>
        <w:rPr>
          <w:b/>
          <w:sz w:val="32"/>
          <w:szCs w:val="32"/>
        </w:rPr>
      </w:pPr>
      <w:r w:rsidRPr="00D527CB">
        <w:rPr>
          <w:b/>
          <w:sz w:val="32"/>
          <w:szCs w:val="32"/>
        </w:rPr>
        <w:t>Además realiza la técnica del parafraseo o subrayado.</w:t>
      </w:r>
    </w:p>
    <w:p w:rsidR="00FF0E04" w:rsidRDefault="00FF0E04" w:rsidP="00FF0E04">
      <w:pPr>
        <w:jc w:val="both"/>
        <w:rPr>
          <w:b/>
          <w:sz w:val="32"/>
          <w:szCs w:val="32"/>
        </w:rPr>
      </w:pPr>
      <w:r>
        <w:rPr>
          <w:b/>
          <w:sz w:val="32"/>
          <w:szCs w:val="32"/>
        </w:rPr>
        <w:t>1.-LA TRATA DE PERSONAS</w:t>
      </w:r>
    </w:p>
    <w:p w:rsidR="00FF0E04" w:rsidRDefault="00FF0E04" w:rsidP="00FF0E04">
      <w:pPr>
        <w:pStyle w:val="NormalWeb"/>
        <w:shd w:val="clear" w:color="auto" w:fill="FFFFFF"/>
        <w:spacing w:before="75" w:beforeAutospacing="0" w:after="150" w:afterAutospacing="0"/>
        <w:rPr>
          <w:rFonts w:ascii="Verdana" w:hAnsi="Verdana"/>
          <w:color w:val="222222"/>
        </w:rPr>
      </w:pPr>
      <w:r>
        <w:rPr>
          <w:rFonts w:ascii="Verdana" w:hAnsi="Verdana"/>
          <w:color w:val="222222"/>
        </w:rPr>
        <w:t>Por TRATA de Personas, se entenderá la captación, el transporte,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w:t>
      </w:r>
    </w:p>
    <w:p w:rsidR="00FF0E04" w:rsidRDefault="00FF0E04" w:rsidP="00FF0E04">
      <w:pPr>
        <w:pStyle w:val="NormalWeb"/>
        <w:shd w:val="clear" w:color="auto" w:fill="FFFFFF"/>
        <w:spacing w:before="150" w:beforeAutospacing="0" w:after="150" w:afterAutospacing="0"/>
        <w:jc w:val="both"/>
        <w:rPr>
          <w:rFonts w:ascii="Verdana" w:hAnsi="Verdana"/>
          <w:color w:val="222222"/>
        </w:rPr>
      </w:pPr>
      <w:r>
        <w:rPr>
          <w:rFonts w:ascii="Verdana" w:hAnsi="Verdana"/>
          <w:color w:val="222222"/>
        </w:rPr>
        <w:t>Esa explotación incluirá, como mínimo, la explotación de la prostitución ajena u otras formas de explotación sexual, los trabajos o servicios forzados, la esclavitud o las prácticas análogas a la esclavitud, la servidumbre o la extracción de órganos.</w:t>
      </w:r>
    </w:p>
    <w:p w:rsidR="00FF0E04" w:rsidRDefault="00FF0E04" w:rsidP="00FF0E04">
      <w:pPr>
        <w:pStyle w:val="NormalWeb"/>
        <w:shd w:val="clear" w:color="auto" w:fill="FFFFFF"/>
        <w:spacing w:before="150" w:beforeAutospacing="0" w:after="150" w:afterAutospacing="0"/>
        <w:jc w:val="both"/>
        <w:rPr>
          <w:rFonts w:ascii="Verdana" w:hAnsi="Verdana"/>
          <w:color w:val="222222"/>
        </w:rPr>
      </w:pPr>
      <w:r>
        <w:rPr>
          <w:rFonts w:ascii="Verdana" w:hAnsi="Verdana"/>
          <w:color w:val="222222"/>
        </w:rPr>
        <w:t>El consentimiento dado por la víctima de la trata de personas a toda forma de explotación que se tenga la intención de realizar descrita en el párrafo anterior no se tendrá en cuenta cuando se haya recurrido a cualquiera de los medios enunciados en dicho apartado.</w:t>
      </w:r>
    </w:p>
    <w:p w:rsidR="00FF0E04" w:rsidRDefault="00FF0E04" w:rsidP="00FF0E04">
      <w:pPr>
        <w:pStyle w:val="NormalWeb"/>
        <w:shd w:val="clear" w:color="auto" w:fill="FFFFFF"/>
        <w:spacing w:before="150" w:beforeAutospacing="0" w:after="150" w:afterAutospacing="0"/>
        <w:jc w:val="both"/>
        <w:rPr>
          <w:rFonts w:ascii="Verdana" w:hAnsi="Verdana"/>
          <w:color w:val="222222"/>
        </w:rPr>
      </w:pPr>
    </w:p>
    <w:p w:rsidR="00FF0E04" w:rsidRDefault="00FF0E04" w:rsidP="00FF0E04">
      <w:pPr>
        <w:pStyle w:val="NormalWeb"/>
        <w:shd w:val="clear" w:color="auto" w:fill="FFFFFF"/>
        <w:spacing w:before="150" w:beforeAutospacing="0" w:after="150" w:afterAutospacing="0"/>
        <w:jc w:val="both"/>
        <w:rPr>
          <w:rFonts w:asciiTheme="minorHAnsi" w:hAnsiTheme="minorHAnsi"/>
          <w:b/>
          <w:color w:val="222222"/>
          <w:sz w:val="32"/>
          <w:szCs w:val="32"/>
        </w:rPr>
      </w:pPr>
      <w:r>
        <w:rPr>
          <w:rFonts w:asciiTheme="minorHAnsi" w:hAnsiTheme="minorHAnsi"/>
          <w:b/>
          <w:color w:val="222222"/>
          <w:sz w:val="32"/>
          <w:szCs w:val="32"/>
        </w:rPr>
        <w:t>2.</w:t>
      </w:r>
      <w:proofErr w:type="gramStart"/>
      <w:r>
        <w:rPr>
          <w:rFonts w:asciiTheme="minorHAnsi" w:hAnsiTheme="minorHAnsi"/>
          <w:b/>
          <w:color w:val="222222"/>
          <w:sz w:val="32"/>
          <w:szCs w:val="32"/>
        </w:rPr>
        <w:t>-</w:t>
      </w:r>
      <w:r w:rsidRPr="005455DE">
        <w:rPr>
          <w:rFonts w:asciiTheme="minorHAnsi" w:hAnsiTheme="minorHAnsi"/>
          <w:b/>
          <w:color w:val="222222"/>
          <w:sz w:val="32"/>
          <w:szCs w:val="32"/>
        </w:rPr>
        <w:t>¿</w:t>
      </w:r>
      <w:proofErr w:type="gramEnd"/>
      <w:r w:rsidRPr="005455DE">
        <w:rPr>
          <w:rFonts w:asciiTheme="minorHAnsi" w:hAnsiTheme="minorHAnsi"/>
          <w:b/>
          <w:color w:val="222222"/>
          <w:sz w:val="32"/>
          <w:szCs w:val="32"/>
        </w:rPr>
        <w:t>HOMICIDIO O ASESINATO?</w:t>
      </w:r>
    </w:p>
    <w:p w:rsidR="00FF0E04" w:rsidRPr="005455DE" w:rsidRDefault="00FF0E04" w:rsidP="00FF0E04">
      <w:pPr>
        <w:pStyle w:val="NormalWeb"/>
        <w:shd w:val="clear" w:color="auto" w:fill="FFFFFF"/>
        <w:jc w:val="both"/>
        <w:rPr>
          <w:rFonts w:ascii="Arial" w:hAnsi="Arial" w:cs="Arial"/>
          <w:color w:val="222222"/>
        </w:rPr>
      </w:pPr>
      <w:r w:rsidRPr="005455DE">
        <w:rPr>
          <w:rFonts w:ascii="Arial" w:hAnsi="Arial" w:cs="Arial"/>
          <w:color w:val="222222"/>
        </w:rPr>
        <w:t>Estoy seguro que en infinidad de ocasiones habréis escuchado, leído o visto en algún programa de televisión o una película que están juzgando o acusan a alguien de cometer un </w:t>
      </w:r>
      <w:r w:rsidRPr="005455DE">
        <w:rPr>
          <w:rFonts w:ascii="Arial" w:hAnsi="Arial" w:cs="Arial"/>
          <w:bCs/>
          <w:color w:val="222222"/>
        </w:rPr>
        <w:t>‘homicidio’</w:t>
      </w:r>
      <w:r w:rsidRPr="005455DE">
        <w:rPr>
          <w:rFonts w:ascii="Arial" w:hAnsi="Arial" w:cs="Arial"/>
          <w:color w:val="222222"/>
        </w:rPr>
        <w:t>  e incluso en otras ocasiones se utiliza el término </w:t>
      </w:r>
      <w:r w:rsidRPr="005455DE">
        <w:rPr>
          <w:rFonts w:ascii="Arial" w:hAnsi="Arial" w:cs="Arial"/>
          <w:bCs/>
          <w:color w:val="222222"/>
        </w:rPr>
        <w:t>‘asesinato’</w:t>
      </w:r>
      <w:r w:rsidRPr="005455DE">
        <w:rPr>
          <w:rFonts w:ascii="Arial" w:hAnsi="Arial" w:cs="Arial"/>
          <w:color w:val="222222"/>
        </w:rPr>
        <w:t>, pero aunque el resultado final es el mismo (una persona muerta) entre uno y otro término hay diferencias que a la hora de juzgar el caso determinará una pena mayor o menor.</w:t>
      </w:r>
    </w:p>
    <w:p w:rsidR="00FF0E04" w:rsidRPr="005455DE" w:rsidRDefault="00FF0E04" w:rsidP="00FF0E04">
      <w:pPr>
        <w:pStyle w:val="NormalWeb"/>
        <w:shd w:val="clear" w:color="auto" w:fill="FFFFFF"/>
        <w:jc w:val="both"/>
        <w:rPr>
          <w:rFonts w:ascii="Arial" w:hAnsi="Arial" w:cs="Arial"/>
          <w:color w:val="222222"/>
        </w:rPr>
      </w:pPr>
      <w:r w:rsidRPr="005455DE">
        <w:rPr>
          <w:rFonts w:ascii="Arial" w:hAnsi="Arial" w:cs="Arial"/>
          <w:color w:val="222222"/>
        </w:rPr>
        <w:t>Se considera </w:t>
      </w:r>
      <w:r w:rsidRPr="005455DE">
        <w:rPr>
          <w:rFonts w:ascii="Arial" w:hAnsi="Arial" w:cs="Arial"/>
          <w:bCs/>
          <w:color w:val="222222"/>
        </w:rPr>
        <w:t>asesinato</w:t>
      </w:r>
      <w:r w:rsidRPr="005455DE">
        <w:rPr>
          <w:rFonts w:ascii="Arial" w:hAnsi="Arial" w:cs="Arial"/>
          <w:color w:val="222222"/>
        </w:rPr>
        <w:t> cuando una persona causa la muerte de otra y lo lleva a cabo con alguno de los tres supuestos (o los tres juntos) de </w:t>
      </w:r>
      <w:r w:rsidRPr="005455DE">
        <w:rPr>
          <w:rFonts w:ascii="Arial" w:hAnsi="Arial" w:cs="Arial"/>
          <w:bCs/>
          <w:color w:val="222222"/>
        </w:rPr>
        <w:t>‘alevosía’</w:t>
      </w:r>
      <w:r w:rsidRPr="005455DE">
        <w:rPr>
          <w:rFonts w:ascii="Arial" w:hAnsi="Arial" w:cs="Arial"/>
          <w:color w:val="222222"/>
        </w:rPr>
        <w:t> (</w:t>
      </w:r>
      <w:r w:rsidRPr="005455DE">
        <w:rPr>
          <w:rFonts w:ascii="Arial" w:hAnsi="Arial" w:cs="Arial"/>
          <w:i/>
          <w:iCs/>
          <w:color w:val="222222"/>
        </w:rPr>
        <w:t>se realiza a traición y/o cuando se sabe que la víctima no va a poder defenderse</w:t>
      </w:r>
      <w:r w:rsidRPr="005455DE">
        <w:rPr>
          <w:rFonts w:ascii="Arial" w:hAnsi="Arial" w:cs="Arial"/>
          <w:color w:val="222222"/>
        </w:rPr>
        <w:t>), </w:t>
      </w:r>
      <w:r w:rsidRPr="005455DE">
        <w:rPr>
          <w:rFonts w:ascii="Arial" w:hAnsi="Arial" w:cs="Arial"/>
          <w:bCs/>
          <w:color w:val="222222"/>
        </w:rPr>
        <w:t>‘ensañamiento’</w:t>
      </w:r>
      <w:r w:rsidRPr="005455DE">
        <w:rPr>
          <w:rFonts w:ascii="Arial" w:hAnsi="Arial" w:cs="Arial"/>
          <w:color w:val="222222"/>
        </w:rPr>
        <w:t> (</w:t>
      </w:r>
      <w:r w:rsidRPr="005455DE">
        <w:rPr>
          <w:rFonts w:ascii="Arial" w:hAnsi="Arial" w:cs="Arial"/>
          <w:i/>
          <w:iCs/>
          <w:color w:val="222222"/>
        </w:rPr>
        <w:t>aumentando</w:t>
      </w:r>
      <w:r>
        <w:rPr>
          <w:rFonts w:ascii="Arial" w:hAnsi="Arial" w:cs="Arial"/>
          <w:i/>
          <w:iCs/>
          <w:color w:val="222222"/>
        </w:rPr>
        <w:t xml:space="preserve"> deliberada e inhumanamente el sufrimiento de la víctima</w:t>
      </w:r>
      <w:r>
        <w:rPr>
          <w:rFonts w:ascii="Arial" w:hAnsi="Arial" w:cs="Arial"/>
          <w:color w:val="222222"/>
        </w:rPr>
        <w:t>) o </w:t>
      </w:r>
      <w:r w:rsidRPr="005455DE">
        <w:rPr>
          <w:rFonts w:ascii="Arial" w:hAnsi="Arial" w:cs="Arial"/>
          <w:bCs/>
          <w:color w:val="222222"/>
        </w:rPr>
        <w:t>‘concurrencia de precio’</w:t>
      </w:r>
      <w:r>
        <w:rPr>
          <w:rFonts w:ascii="Arial" w:hAnsi="Arial" w:cs="Arial"/>
          <w:bCs/>
          <w:color w:val="222222"/>
        </w:rPr>
        <w:t xml:space="preserve"> </w:t>
      </w:r>
      <w:r w:rsidRPr="005455DE">
        <w:rPr>
          <w:rFonts w:ascii="Arial" w:hAnsi="Arial" w:cs="Arial"/>
          <w:color w:val="222222"/>
        </w:rPr>
        <w:t>(</w:t>
      </w:r>
      <w:r w:rsidRPr="005455DE">
        <w:rPr>
          <w:rFonts w:ascii="Arial" w:hAnsi="Arial" w:cs="Arial"/>
          <w:i/>
          <w:iCs/>
          <w:color w:val="222222"/>
        </w:rPr>
        <w:t>cometiendo el crimen a cambio de una retribución económica o material</w:t>
      </w:r>
      <w:r w:rsidRPr="005455DE">
        <w:rPr>
          <w:rFonts w:ascii="Arial" w:hAnsi="Arial" w:cs="Arial"/>
          <w:color w:val="222222"/>
        </w:rPr>
        <w:t>).</w:t>
      </w:r>
    </w:p>
    <w:p w:rsidR="00FF0E04" w:rsidRPr="005455DE" w:rsidRDefault="00FF0E04" w:rsidP="00FF0E04">
      <w:pPr>
        <w:pStyle w:val="NormalWeb"/>
        <w:shd w:val="clear" w:color="auto" w:fill="FFFFFF"/>
        <w:jc w:val="both"/>
        <w:rPr>
          <w:rFonts w:ascii="Arial" w:hAnsi="Arial" w:cs="Arial"/>
          <w:color w:val="222222"/>
        </w:rPr>
      </w:pPr>
      <w:r w:rsidRPr="005455DE">
        <w:rPr>
          <w:rFonts w:ascii="Arial" w:hAnsi="Arial" w:cs="Arial"/>
          <w:color w:val="222222"/>
        </w:rPr>
        <w:t>Cometer un asesinato está castigado con una pena que va desde los 15 a los 20 años de prisión, elevándose hasta los 25 años si concurren dos o más circunstancias específicas del delito: se cometió con </w:t>
      </w:r>
      <w:r w:rsidRPr="005455DE">
        <w:rPr>
          <w:rFonts w:ascii="Arial" w:hAnsi="Arial" w:cs="Arial"/>
          <w:i/>
          <w:iCs/>
          <w:color w:val="222222"/>
        </w:rPr>
        <w:t>ensañamiento y alevosía</w:t>
      </w:r>
      <w:r w:rsidRPr="005455DE">
        <w:rPr>
          <w:rFonts w:ascii="Arial" w:hAnsi="Arial" w:cs="Arial"/>
          <w:color w:val="222222"/>
        </w:rPr>
        <w:t xml:space="preserve">, </w:t>
      </w:r>
      <w:r w:rsidRPr="005455DE">
        <w:rPr>
          <w:rFonts w:ascii="Arial" w:hAnsi="Arial" w:cs="Arial"/>
          <w:color w:val="222222"/>
        </w:rPr>
        <w:lastRenderedPageBreak/>
        <w:t>con </w:t>
      </w:r>
      <w:r w:rsidRPr="005455DE">
        <w:rPr>
          <w:rFonts w:ascii="Arial" w:hAnsi="Arial" w:cs="Arial"/>
          <w:i/>
          <w:iCs/>
          <w:color w:val="222222"/>
        </w:rPr>
        <w:t>concurrencia de precio y alevosía</w:t>
      </w:r>
      <w:r w:rsidRPr="005455DE">
        <w:rPr>
          <w:rFonts w:ascii="Arial" w:hAnsi="Arial" w:cs="Arial"/>
          <w:color w:val="222222"/>
        </w:rPr>
        <w:t>, con </w:t>
      </w:r>
      <w:r w:rsidRPr="005455DE">
        <w:rPr>
          <w:rFonts w:ascii="Arial" w:hAnsi="Arial" w:cs="Arial"/>
          <w:i/>
          <w:iCs/>
          <w:color w:val="222222"/>
        </w:rPr>
        <w:t>cualquier combinación de las tres</w:t>
      </w:r>
      <w:r w:rsidRPr="005455DE">
        <w:rPr>
          <w:rFonts w:ascii="Arial" w:hAnsi="Arial" w:cs="Arial"/>
          <w:color w:val="222222"/>
        </w:rPr>
        <w:t>  o con </w:t>
      </w:r>
      <w:r w:rsidRPr="005455DE">
        <w:rPr>
          <w:rFonts w:ascii="Arial" w:hAnsi="Arial" w:cs="Arial"/>
          <w:i/>
          <w:iCs/>
          <w:color w:val="222222"/>
        </w:rPr>
        <w:t>los tres supuestos al mismo tiempo</w:t>
      </w:r>
      <w:r w:rsidRPr="005455DE">
        <w:rPr>
          <w:rFonts w:ascii="Arial" w:hAnsi="Arial" w:cs="Arial"/>
          <w:color w:val="222222"/>
        </w:rPr>
        <w:t>.</w:t>
      </w:r>
    </w:p>
    <w:p w:rsidR="00FF0E04" w:rsidRPr="005455DE" w:rsidRDefault="00FF0E04" w:rsidP="00FF0E04">
      <w:pPr>
        <w:pStyle w:val="NormalWeb"/>
        <w:shd w:val="clear" w:color="auto" w:fill="FFFFFF"/>
        <w:jc w:val="both"/>
        <w:rPr>
          <w:rFonts w:ascii="Arial" w:hAnsi="Arial" w:cs="Arial"/>
          <w:color w:val="222222"/>
        </w:rPr>
      </w:pPr>
      <w:r w:rsidRPr="005455DE">
        <w:rPr>
          <w:rFonts w:ascii="Arial" w:hAnsi="Arial" w:cs="Arial"/>
          <w:color w:val="222222"/>
        </w:rPr>
        <w:t>Se considera </w:t>
      </w:r>
      <w:r w:rsidRPr="005455DE">
        <w:rPr>
          <w:rFonts w:ascii="Arial" w:hAnsi="Arial" w:cs="Arial"/>
          <w:bCs/>
          <w:color w:val="222222"/>
        </w:rPr>
        <w:t>homicidio</w:t>
      </w:r>
      <w:r w:rsidRPr="005455DE">
        <w:rPr>
          <w:rFonts w:ascii="Arial" w:hAnsi="Arial" w:cs="Arial"/>
          <w:color w:val="222222"/>
        </w:rPr>
        <w:t> cuando una persona causa la muerte a otra, pero en el crimen no se contempla ninguno de los tres supuestos citados en el apartado referente al asesinato. Se puede tener la intención de matar a alguien pero no ensañarse, ni realizarlo alevosamente o bajo recompensa, por lo que se diría que se ha cometido un </w:t>
      </w:r>
      <w:r w:rsidRPr="005455DE">
        <w:rPr>
          <w:rFonts w:ascii="Arial" w:hAnsi="Arial" w:cs="Arial"/>
          <w:bCs/>
          <w:color w:val="222222"/>
        </w:rPr>
        <w:t>‘homicidio doloso’</w:t>
      </w:r>
      <w:r w:rsidRPr="005455DE">
        <w:rPr>
          <w:rFonts w:ascii="Arial" w:hAnsi="Arial" w:cs="Arial"/>
          <w:color w:val="222222"/>
        </w:rPr>
        <w:t>, aunque habitualmente no solemos verlo acompañado del término </w:t>
      </w:r>
      <w:r w:rsidRPr="005455DE">
        <w:rPr>
          <w:rFonts w:ascii="Arial" w:hAnsi="Arial" w:cs="Arial"/>
          <w:bCs/>
          <w:color w:val="222222"/>
        </w:rPr>
        <w:t>‘doloso’</w:t>
      </w:r>
      <w:r w:rsidRPr="005455DE">
        <w:rPr>
          <w:rFonts w:ascii="Arial" w:hAnsi="Arial" w:cs="Arial"/>
          <w:color w:val="222222"/>
        </w:rPr>
        <w:t>.</w:t>
      </w:r>
    </w:p>
    <w:p w:rsidR="00FF0E04" w:rsidRDefault="00FF0E04" w:rsidP="00FF0E04">
      <w:pPr>
        <w:pStyle w:val="NormalWeb"/>
        <w:shd w:val="clear" w:color="auto" w:fill="FFFFFF"/>
        <w:jc w:val="both"/>
        <w:rPr>
          <w:rFonts w:ascii="Arial" w:hAnsi="Arial" w:cs="Arial"/>
          <w:color w:val="222222"/>
        </w:rPr>
      </w:pPr>
      <w:r w:rsidRPr="005455DE">
        <w:rPr>
          <w:rFonts w:ascii="Arial" w:hAnsi="Arial" w:cs="Arial"/>
          <w:color w:val="222222"/>
        </w:rPr>
        <w:t>El delito de homicidio también contempla el supuesto en el que alguien mata a otra persona pero ha sido sin intención, conocido como </w:t>
      </w:r>
      <w:r w:rsidRPr="005455DE">
        <w:rPr>
          <w:rFonts w:ascii="Arial" w:hAnsi="Arial" w:cs="Arial"/>
          <w:bCs/>
          <w:color w:val="222222"/>
        </w:rPr>
        <w:t>‘homicidio involuntario’</w:t>
      </w:r>
      <w:r w:rsidRPr="005455DE">
        <w:rPr>
          <w:rFonts w:ascii="Arial" w:hAnsi="Arial" w:cs="Arial"/>
          <w:color w:val="222222"/>
        </w:rPr>
        <w:t> (accidente de tráfico, atropello, etc…  por poner un par de ejemplos) y/o a causa de un fallo o negligencia </w:t>
      </w:r>
      <w:r w:rsidRPr="005455DE">
        <w:rPr>
          <w:rFonts w:ascii="Arial" w:hAnsi="Arial" w:cs="Arial"/>
          <w:bCs/>
          <w:color w:val="222222"/>
        </w:rPr>
        <w:t>‘homicidio negligente’</w:t>
      </w:r>
      <w:r w:rsidRPr="005455DE">
        <w:rPr>
          <w:rFonts w:ascii="Arial" w:hAnsi="Arial" w:cs="Arial"/>
          <w:color w:val="222222"/>
        </w:rPr>
        <w:t> (por ejemplo, un fallo por parte del médico durante una operación quirúrgica, muerte por un accidente de trabajo por falta de la seguridad correspondiente por parte del empresario, encargado, etc…).  Estos dos tipos de homicidio también pueden ser llamados </w:t>
      </w:r>
      <w:r w:rsidRPr="005455DE">
        <w:rPr>
          <w:rFonts w:ascii="Arial" w:hAnsi="Arial" w:cs="Arial"/>
          <w:bCs/>
          <w:color w:val="222222"/>
        </w:rPr>
        <w:t>‘homicidio culposo’</w:t>
      </w:r>
      <w:r w:rsidRPr="005455DE">
        <w:rPr>
          <w:rFonts w:ascii="Arial" w:hAnsi="Arial" w:cs="Arial"/>
          <w:color w:val="222222"/>
        </w:rPr>
        <w:t>.</w:t>
      </w:r>
    </w:p>
    <w:p w:rsidR="00FF0E04" w:rsidRDefault="00FF0E04" w:rsidP="00FF0E04">
      <w:pPr>
        <w:pStyle w:val="NormalWeb"/>
        <w:shd w:val="clear" w:color="auto" w:fill="FFFFFF"/>
        <w:jc w:val="both"/>
        <w:rPr>
          <w:rFonts w:ascii="Arial" w:hAnsi="Arial" w:cs="Arial"/>
          <w:b/>
          <w:color w:val="222222"/>
          <w:sz w:val="32"/>
          <w:szCs w:val="32"/>
        </w:rPr>
      </w:pPr>
      <w:r w:rsidRPr="00D2357E">
        <w:rPr>
          <w:rFonts w:ascii="Arial" w:hAnsi="Arial" w:cs="Arial"/>
          <w:b/>
          <w:color w:val="222222"/>
          <w:sz w:val="32"/>
          <w:szCs w:val="32"/>
        </w:rPr>
        <w:t>3.-LA PROCRASTINACIÓN</w:t>
      </w:r>
    </w:p>
    <w:p w:rsidR="00FF0E04" w:rsidRPr="00D2357E" w:rsidRDefault="00FF0E04" w:rsidP="00FF0E04">
      <w:pPr>
        <w:autoSpaceDE w:val="0"/>
        <w:autoSpaceDN w:val="0"/>
        <w:adjustRightInd w:val="0"/>
        <w:spacing w:after="200" w:line="240" w:lineRule="auto"/>
        <w:jc w:val="both"/>
        <w:rPr>
          <w:rFonts w:ascii="Arial" w:eastAsia="Times New Roman" w:hAnsi="Arial" w:cs="Arial"/>
          <w:sz w:val="24"/>
          <w:szCs w:val="24"/>
          <w:lang w:val="es-ES_tradnl" w:eastAsia="es-ES_tradnl"/>
        </w:rPr>
      </w:pPr>
      <w:r w:rsidRPr="00D2357E">
        <w:rPr>
          <w:rFonts w:ascii="Arial" w:eastAsia="Times New Roman" w:hAnsi="Arial" w:cs="Arial"/>
          <w:sz w:val="24"/>
          <w:szCs w:val="24"/>
          <w:lang w:val="es-ES_tradnl" w:eastAsia="es-ES_tradnl"/>
        </w:rPr>
        <w:t xml:space="preserve">La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crónica es una conducta Irracional y disfuncional habitual que se caracteriza por una demora voluntaria en la ejecución de una tarea que se tenía la intención de realizar pero que se posterga a pesar de las consecuencias negativas de la demora.</w:t>
      </w:r>
    </w:p>
    <w:p w:rsidR="00FF0E04" w:rsidRPr="00D2357E" w:rsidRDefault="00FF0E04" w:rsidP="00FF0E04">
      <w:pPr>
        <w:autoSpaceDE w:val="0"/>
        <w:autoSpaceDN w:val="0"/>
        <w:adjustRightInd w:val="0"/>
        <w:spacing w:after="200" w:line="240" w:lineRule="auto"/>
        <w:jc w:val="both"/>
        <w:rPr>
          <w:rFonts w:ascii="Arial" w:eastAsia="Times New Roman" w:hAnsi="Arial" w:cs="Arial"/>
          <w:sz w:val="24"/>
          <w:szCs w:val="24"/>
          <w:lang w:val="es-ES_tradnl" w:eastAsia="es-ES_tradnl"/>
        </w:rPr>
      </w:pPr>
      <w:r w:rsidRPr="00D2357E">
        <w:rPr>
          <w:rFonts w:ascii="Arial" w:eastAsia="Times New Roman" w:hAnsi="Arial" w:cs="Arial"/>
          <w:sz w:val="24"/>
          <w:szCs w:val="24"/>
          <w:lang w:val="es-ES_tradnl" w:eastAsia="es-ES_tradnl"/>
        </w:rPr>
        <w:t xml:space="preserve">Este estudio tuvo como primer objetivo determinar la percepción que tienen los limeños de su organización del tiempo, autorregulación para cumplir con proyectos planificados, cumplimiento de metas y tiempos de entrega, así como evaluar la experiencia de </w:t>
      </w:r>
      <w:proofErr w:type="spellStart"/>
      <w:r w:rsidRPr="00D2357E">
        <w:rPr>
          <w:rFonts w:ascii="Arial" w:eastAsia="Times New Roman" w:hAnsi="Arial" w:cs="Arial"/>
          <w:sz w:val="24"/>
          <w:szCs w:val="24"/>
          <w:lang w:val="es-ES_tradnl" w:eastAsia="es-ES_tradnl"/>
        </w:rPr>
        <w:t>procras</w:t>
      </w:r>
      <w:r w:rsidRPr="00D2357E">
        <w:rPr>
          <w:rFonts w:ascii="Arial" w:eastAsia="Times New Roman" w:hAnsi="Arial" w:cs="Arial"/>
          <w:sz w:val="24"/>
          <w:szCs w:val="24"/>
          <w:lang w:val="es-ES_tradnl" w:eastAsia="es-ES_tradnl"/>
        </w:rPr>
        <w:softHyphen/>
        <w:t>tinación</w:t>
      </w:r>
      <w:proofErr w:type="spellEnd"/>
      <w:r w:rsidRPr="00D2357E">
        <w:rPr>
          <w:rFonts w:ascii="Arial" w:eastAsia="Times New Roman" w:hAnsi="Arial" w:cs="Arial"/>
          <w:sz w:val="24"/>
          <w:szCs w:val="24"/>
          <w:lang w:val="es-ES_tradnl" w:eastAsia="es-ES_tradnl"/>
        </w:rPr>
        <w:t xml:space="preserve"> en los participantes. El segundo objetivo planteado fue la creación y validación de un instrumento confiable para la evaluación de la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crónica en adultos.</w:t>
      </w:r>
    </w:p>
    <w:p w:rsidR="00FF0E04" w:rsidRPr="00D2357E" w:rsidRDefault="00FF0E04" w:rsidP="00FF0E04">
      <w:pPr>
        <w:autoSpaceDE w:val="0"/>
        <w:autoSpaceDN w:val="0"/>
        <w:adjustRightInd w:val="0"/>
        <w:spacing w:after="200" w:line="240" w:lineRule="auto"/>
        <w:jc w:val="both"/>
        <w:rPr>
          <w:rFonts w:ascii="Arial" w:eastAsia="Times New Roman" w:hAnsi="Arial" w:cs="Arial"/>
          <w:sz w:val="24"/>
          <w:szCs w:val="24"/>
          <w:lang w:val="es-ES_tradnl" w:eastAsia="es-ES_tradnl"/>
        </w:rPr>
      </w:pPr>
      <w:r w:rsidRPr="00D2357E">
        <w:rPr>
          <w:rFonts w:ascii="Arial" w:eastAsia="Times New Roman" w:hAnsi="Arial" w:cs="Arial"/>
          <w:sz w:val="24"/>
          <w:szCs w:val="24"/>
          <w:lang w:val="es-ES_tradnl" w:eastAsia="es-ES_tradnl"/>
        </w:rPr>
        <w:t xml:space="preserve">Se realizaron entrevistas a profundidad y </w:t>
      </w:r>
      <w:proofErr w:type="spellStart"/>
      <w:r w:rsidRPr="00D2357E">
        <w:rPr>
          <w:rFonts w:ascii="Arial" w:eastAsia="Times New Roman" w:hAnsi="Arial" w:cs="Arial"/>
          <w:sz w:val="24"/>
          <w:szCs w:val="24"/>
          <w:lang w:val="es-ES_tradnl" w:eastAsia="es-ES_tradnl"/>
        </w:rPr>
        <w:t>focus</w:t>
      </w:r>
      <w:proofErr w:type="spellEnd"/>
      <w:r w:rsidRPr="00D2357E">
        <w:rPr>
          <w:rFonts w:ascii="Arial" w:eastAsia="Times New Roman" w:hAnsi="Arial" w:cs="Arial"/>
          <w:sz w:val="24"/>
          <w:szCs w:val="24"/>
          <w:lang w:val="es-ES_tradnl" w:eastAsia="es-ES_tradnl"/>
        </w:rPr>
        <w:t xml:space="preserve"> </w:t>
      </w:r>
      <w:proofErr w:type="spellStart"/>
      <w:r w:rsidRPr="00D2357E">
        <w:rPr>
          <w:rFonts w:ascii="Arial" w:eastAsia="Times New Roman" w:hAnsi="Arial" w:cs="Arial"/>
          <w:sz w:val="24"/>
          <w:szCs w:val="24"/>
          <w:lang w:val="es-ES_tradnl" w:eastAsia="es-ES_tradnl"/>
        </w:rPr>
        <w:t>groups</w:t>
      </w:r>
      <w:proofErr w:type="spellEnd"/>
      <w:r w:rsidRPr="00D2357E">
        <w:rPr>
          <w:rFonts w:ascii="Arial" w:eastAsia="Times New Roman" w:hAnsi="Arial" w:cs="Arial"/>
          <w:sz w:val="24"/>
          <w:szCs w:val="24"/>
          <w:lang w:val="es-ES_tradnl" w:eastAsia="es-ES_tradnl"/>
        </w:rPr>
        <w:t xml:space="preserve"> con adultos*. Así se determinaron los procesos de postergación de tareas habituales, sus posibles causas y consecuencias. De la misma manera, se explicó la presencia de la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crónica diferenciando, por un lado, las variables culturales que inciden en ella, la promueven y, en muchos casos, impiden que se reconozca como una conducta disfuncional; y, por el otro, evaluando las estrategias parentales en la formación de hábitos de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La presencia de la conducta de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depende de la tarea enfrentar, los rasgos de personalidad y el hábito para resolver tareas.</w:t>
      </w:r>
    </w:p>
    <w:p w:rsidR="00FF0E04" w:rsidRPr="00D2357E" w:rsidRDefault="00FF0E04" w:rsidP="00FF0E04">
      <w:pPr>
        <w:autoSpaceDE w:val="0"/>
        <w:autoSpaceDN w:val="0"/>
        <w:adjustRightInd w:val="0"/>
        <w:spacing w:after="200" w:line="240" w:lineRule="auto"/>
        <w:jc w:val="both"/>
        <w:rPr>
          <w:rFonts w:ascii="Arial" w:eastAsia="Times New Roman" w:hAnsi="Arial" w:cs="Arial"/>
          <w:sz w:val="24"/>
          <w:szCs w:val="24"/>
          <w:lang w:val="es-ES_tradnl" w:eastAsia="es-ES_tradnl"/>
        </w:rPr>
      </w:pPr>
      <w:r w:rsidRPr="00D2357E">
        <w:rPr>
          <w:rFonts w:ascii="Arial" w:eastAsia="Times New Roman" w:hAnsi="Arial" w:cs="Arial"/>
          <w:sz w:val="24"/>
          <w:szCs w:val="24"/>
          <w:lang w:val="es-ES_tradnl" w:eastAsia="es-ES_tradnl"/>
        </w:rPr>
        <w:t xml:space="preserve">Con la información obtenida se creó la Escala de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Crónica para Adultos (EPCA) y se procedió a estudiar su confiabilidad y validez en una muestra**. Así se identificó que son dos las áreas que evalúan la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los rasgos de personalidad y el hábito para resolver tareas.</w:t>
      </w:r>
    </w:p>
    <w:p w:rsidR="00FF0E04" w:rsidRPr="00D2357E" w:rsidRDefault="00FF0E04" w:rsidP="00FF0E04">
      <w:pPr>
        <w:autoSpaceDE w:val="0"/>
        <w:autoSpaceDN w:val="0"/>
        <w:adjustRightInd w:val="0"/>
        <w:spacing w:after="200" w:line="240" w:lineRule="auto"/>
        <w:jc w:val="both"/>
        <w:rPr>
          <w:rFonts w:ascii="Arial" w:eastAsia="Times New Roman" w:hAnsi="Arial" w:cs="Arial"/>
          <w:sz w:val="24"/>
          <w:szCs w:val="24"/>
          <w:lang w:val="es-ES_tradnl" w:eastAsia="es-ES_tradnl"/>
        </w:rPr>
      </w:pPr>
      <w:r w:rsidRPr="00D2357E">
        <w:rPr>
          <w:rFonts w:ascii="Arial" w:eastAsia="Times New Roman" w:hAnsi="Arial" w:cs="Arial"/>
          <w:sz w:val="24"/>
          <w:szCs w:val="24"/>
          <w:lang w:val="es-ES_tradnl" w:eastAsia="es-ES_tradnl"/>
        </w:rPr>
        <w:t xml:space="preserve">El estudio de la </w:t>
      </w:r>
      <w:proofErr w:type="spellStart"/>
      <w:r w:rsidRPr="00D2357E">
        <w:rPr>
          <w:rFonts w:ascii="Arial" w:eastAsia="Times New Roman" w:hAnsi="Arial" w:cs="Arial"/>
          <w:sz w:val="24"/>
          <w:szCs w:val="24"/>
          <w:lang w:val="es-ES_tradnl" w:eastAsia="es-ES_tradnl"/>
        </w:rPr>
        <w:t>procrastinación</w:t>
      </w:r>
      <w:proofErr w:type="spellEnd"/>
      <w:r w:rsidRPr="00D2357E">
        <w:rPr>
          <w:rFonts w:ascii="Arial" w:eastAsia="Times New Roman" w:hAnsi="Arial" w:cs="Arial"/>
          <w:sz w:val="24"/>
          <w:szCs w:val="24"/>
          <w:lang w:val="es-ES_tradnl" w:eastAsia="es-ES_tradnl"/>
        </w:rPr>
        <w:t xml:space="preserve"> crónica permite observar que el entorno es parte importante en la conducta de postergación, siendo la familia el primer referente a partir del cual se forma la personalidad planificadora. Existen costumbres </w:t>
      </w:r>
      <w:r w:rsidRPr="00D2357E">
        <w:rPr>
          <w:rFonts w:ascii="Arial" w:eastAsia="Times New Roman" w:hAnsi="Arial" w:cs="Arial"/>
          <w:sz w:val="24"/>
          <w:szCs w:val="24"/>
          <w:lang w:val="es-ES_tradnl" w:eastAsia="es-ES_tradnl"/>
        </w:rPr>
        <w:lastRenderedPageBreak/>
        <w:t>sociales que refuerzan la conducta de postergación y su papel se vuelve más protagónico por medio de la: instituciones que avalan el "permiso" para hacer las cosas tarde.</w:t>
      </w:r>
    </w:p>
    <w:p w:rsidR="00F821B5" w:rsidRPr="00FF0E04" w:rsidRDefault="00F821B5">
      <w:pPr>
        <w:rPr>
          <w:lang w:val="es-ES_tradnl"/>
        </w:rPr>
      </w:pPr>
      <w:bookmarkStart w:id="0" w:name="_GoBack"/>
      <w:bookmarkEnd w:id="0"/>
    </w:p>
    <w:sectPr w:rsidR="00F821B5" w:rsidRPr="00FF0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3B"/>
    <w:rsid w:val="00A20C3B"/>
    <w:rsid w:val="00F821B5"/>
    <w:rsid w:val="00FF0E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FBD4-B5D5-47A8-85BE-D8792C05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E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0E0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4605</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2018-04-30T01:19:00Z</dcterms:created>
  <dcterms:modified xsi:type="dcterms:W3CDTF">2018-04-30T01:20:00Z</dcterms:modified>
</cp:coreProperties>
</file>